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9" w:rsidRPr="00CF4909" w:rsidRDefault="00CF4909" w:rsidP="00CF490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F4909">
        <w:rPr>
          <w:rFonts w:ascii="Arial" w:hAnsi="Arial" w:cs="Arial"/>
          <w:b/>
          <w:sz w:val="28"/>
          <w:szCs w:val="28"/>
          <w:u w:val="single"/>
        </w:rPr>
        <w:t xml:space="preserve">How the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Covid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catch up premium</w:t>
      </w:r>
      <w:r w:rsidRPr="00CF4909">
        <w:rPr>
          <w:rFonts w:ascii="Arial" w:hAnsi="Arial" w:cs="Arial"/>
          <w:b/>
          <w:sz w:val="28"/>
          <w:szCs w:val="28"/>
          <w:u w:val="single"/>
        </w:rPr>
        <w:t xml:space="preserve"> will be spent for the academic year 2020-21</w:t>
      </w: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57"/>
        <w:gridCol w:w="2730"/>
        <w:gridCol w:w="4824"/>
        <w:gridCol w:w="2129"/>
      </w:tblGrid>
      <w:tr w:rsidR="00CF4909" w:rsidRPr="00CF4909" w:rsidTr="003D15A4">
        <w:trPr>
          <w:cantSplit/>
          <w:tblHeader/>
        </w:trPr>
        <w:tc>
          <w:tcPr>
            <w:tcW w:w="1384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0" w:line="240" w:lineRule="auto"/>
              <w:rPr>
                <w:rFonts w:ascii="Arial" w:eastAsia="MS Mincho" w:hAnsi="Arial"/>
                <w:caps/>
                <w:color w:val="F8F8F8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caps/>
                <w:color w:val="F8F8F8"/>
                <w:sz w:val="20"/>
                <w:szCs w:val="24"/>
                <w:lang w:val="en-US"/>
              </w:rPr>
              <w:t>summary information</w:t>
            </w:r>
          </w:p>
        </w:tc>
      </w:tr>
      <w:tr w:rsidR="00CF4909" w:rsidRPr="00CF4909" w:rsidTr="00C856E1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8E10E8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4</w:t>
            </w:r>
            <w:r w:rsidR="002D72A9">
              <w:rPr>
                <w:rFonts w:ascii="Arial" w:eastAsia="MS Mincho" w:hAnsi="Arial"/>
                <w:sz w:val="20"/>
                <w:szCs w:val="24"/>
                <w:lang w:val="en-US"/>
              </w:rPr>
              <w:t>16</w:t>
            </w:r>
            <w:r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(October 2020</w:t>
            </w:r>
            <w:r w:rsidR="00681CAB"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census)</w:t>
            </w:r>
          </w:p>
        </w:tc>
        <w:tc>
          <w:tcPr>
            <w:tcW w:w="5055" w:type="dxa"/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£80</w:t>
            </w:r>
          </w:p>
        </w:tc>
      </w:tr>
      <w:tr w:rsidR="003D15A4" w:rsidRPr="00CF4909" w:rsidTr="00951C6A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3D15A4" w:rsidRPr="00CF4909" w:rsidRDefault="003D15A4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Total catch-up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3D15A4" w:rsidRPr="00CF4909" w:rsidRDefault="002D72A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£33,280</w:t>
            </w:r>
            <w:r w:rsidR="003D15A4"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in three tranches.</w:t>
            </w:r>
          </w:p>
        </w:tc>
        <w:tc>
          <w:tcPr>
            <w:tcW w:w="6953" w:type="dxa"/>
            <w:gridSpan w:val="2"/>
          </w:tcPr>
          <w:p w:rsidR="003D15A4" w:rsidRPr="00CF4909" w:rsidRDefault="003D15A4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Holy Trinity C E (A) Primary School.</w:t>
            </w:r>
          </w:p>
        </w:tc>
      </w:tr>
    </w:tbl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Pr="00323C80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Pr="008F71C7" w:rsidRDefault="00CF4909" w:rsidP="00CF490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5160"/>
        <w:gridCol w:w="3033"/>
      </w:tblGrid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B5144D">
              <w:rPr>
                <w:rFonts w:ascii="Arial" w:hAnsi="Arial" w:cs="Arial"/>
                <w:b/>
                <w:sz w:val="24"/>
                <w:szCs w:val="24"/>
              </w:rPr>
              <w:t xml:space="preserve"> – approximate. </w:t>
            </w:r>
          </w:p>
        </w:tc>
        <w:tc>
          <w:tcPr>
            <w:tcW w:w="5160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Intended Impact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Evidence base.</w:t>
            </w:r>
          </w:p>
        </w:tc>
        <w:tc>
          <w:tcPr>
            <w:tcW w:w="3033" w:type="dxa"/>
            <w:shd w:val="clear" w:color="auto" w:fill="auto"/>
          </w:tcPr>
          <w:p w:rsidR="0088716B" w:rsidRPr="00323C80" w:rsidRDefault="0088716B" w:rsidP="00887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impact be measured?</w:t>
            </w:r>
          </w:p>
        </w:tc>
      </w:tr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Tutoring after school in reading, writing and maths. Children will be taught in small groups of 6 by qualified teachers who currently teach at Holy trinity Primary School. Children will be identified according to need and invited to join a 10 week programme of tutoring.</w:t>
            </w:r>
            <w:r w:rsidR="008F32F1">
              <w:rPr>
                <w:rFonts w:ascii="Arial" w:hAnsi="Arial" w:cs="Arial"/>
                <w:sz w:val="24"/>
                <w:szCs w:val="24"/>
              </w:rPr>
              <w:t xml:space="preserve"> Each session will last an hour.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F32F1">
              <w:rPr>
                <w:rFonts w:ascii="Arial" w:hAnsi="Arial" w:cs="Arial"/>
                <w:sz w:val="24"/>
                <w:szCs w:val="24"/>
              </w:rPr>
              <w:t>9,000</w:t>
            </w:r>
          </w:p>
        </w:tc>
        <w:tc>
          <w:tcPr>
            <w:tcW w:w="5160" w:type="dxa"/>
          </w:tcPr>
          <w:p w:rsidR="00FD7628" w:rsidRDefault="00697D42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Intended </w:t>
            </w:r>
            <w:r w:rsidR="00FD7628" w:rsidRPr="00FD7628">
              <w:rPr>
                <w:rFonts w:ascii="Arial" w:hAnsi="Arial" w:cs="Arial"/>
                <w:b/>
              </w:rPr>
              <w:t>Impact</w:t>
            </w:r>
            <w:r w:rsidR="00FD7628">
              <w:rPr>
                <w:rFonts w:ascii="Arial" w:hAnsi="Arial" w:cs="Arial"/>
              </w:rPr>
              <w:t>:</w:t>
            </w:r>
          </w:p>
          <w:p w:rsidR="0088716B" w:rsidRDefault="0088716B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mitigate the effects of the lockdown, to close gaps in reading, writing and maths and address individual needs identified by class teachers.</w:t>
            </w:r>
          </w:p>
          <w:p w:rsidR="00FD7628" w:rsidRPr="00FD7628" w:rsidRDefault="00FD7628" w:rsidP="00C856E1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B5144D" w:rsidRDefault="003D15A4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8716B">
              <w:rPr>
                <w:rFonts w:ascii="Arial" w:hAnsi="Arial" w:cs="Arial"/>
              </w:rPr>
              <w:t>E</w:t>
            </w:r>
            <w:r w:rsidR="00697D42">
              <w:rPr>
                <w:rFonts w:ascii="Arial" w:hAnsi="Arial" w:cs="Arial"/>
              </w:rPr>
              <w:t xml:space="preserve">ducation </w:t>
            </w:r>
            <w:r w:rsidR="0088716B">
              <w:rPr>
                <w:rFonts w:ascii="Arial" w:hAnsi="Arial" w:cs="Arial"/>
              </w:rPr>
              <w:t>E</w:t>
            </w:r>
            <w:r w:rsidR="00697D42">
              <w:rPr>
                <w:rFonts w:ascii="Arial" w:hAnsi="Arial" w:cs="Arial"/>
              </w:rPr>
              <w:t xml:space="preserve">ndowment </w:t>
            </w:r>
            <w:r w:rsidR="0088716B">
              <w:rPr>
                <w:rFonts w:ascii="Arial" w:hAnsi="Arial" w:cs="Arial"/>
              </w:rPr>
              <w:t>F</w:t>
            </w:r>
            <w:r w:rsidR="00697D42">
              <w:rPr>
                <w:rFonts w:ascii="Arial" w:hAnsi="Arial" w:cs="Arial"/>
              </w:rPr>
              <w:t>oundation</w:t>
            </w:r>
            <w:r w:rsidR="00B5144D">
              <w:rPr>
                <w:rFonts w:ascii="Arial" w:hAnsi="Arial" w:cs="Arial"/>
              </w:rPr>
              <w:t xml:space="preserve"> teaching and learning toolkit identifies the following impact:</w:t>
            </w:r>
          </w:p>
          <w:p w:rsidR="0088716B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+8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comprehension strategies +6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learning +5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learning +5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tuition +4 months</w:t>
            </w:r>
          </w:p>
          <w:p w:rsidR="003D15A4" w:rsidRDefault="003D15A4" w:rsidP="00C856E1">
            <w:pPr>
              <w:pStyle w:val="Default"/>
              <w:rPr>
                <w:rFonts w:ascii="Arial" w:hAnsi="Arial" w:cs="Arial"/>
              </w:rPr>
            </w:pPr>
          </w:p>
          <w:p w:rsidR="003D15A4" w:rsidRPr="00323C80" w:rsidRDefault="003D15A4" w:rsidP="00C856E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8716B" w:rsidRPr="00323C80" w:rsidRDefault="0088716B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assessment will take place at the beginning and at the end of the tutoring period. Teachers will informally review progress on an ongoing basis.</w:t>
            </w:r>
          </w:p>
        </w:tc>
      </w:tr>
      <w:tr w:rsidR="0088716B" w:rsidRPr="008F71C7" w:rsidTr="0088716B">
        <w:trPr>
          <w:trHeight w:val="547"/>
        </w:trPr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Extra </w:t>
            </w:r>
            <w:r w:rsidR="00CB438B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r w:rsidR="00FD7628">
              <w:rPr>
                <w:rFonts w:ascii="Arial" w:hAnsi="Arial" w:cs="Arial"/>
                <w:sz w:val="24"/>
                <w:szCs w:val="24"/>
              </w:rPr>
              <w:t xml:space="preserve">LSA for year 5 – identified as </w:t>
            </w:r>
            <w:r>
              <w:rPr>
                <w:rFonts w:ascii="Arial" w:hAnsi="Arial" w:cs="Arial"/>
                <w:sz w:val="24"/>
                <w:szCs w:val="24"/>
              </w:rPr>
              <w:t>the most vulnerable cohort</w:t>
            </w:r>
            <w:r w:rsidR="008F32F1">
              <w:rPr>
                <w:rFonts w:ascii="Arial" w:hAnsi="Arial" w:cs="Arial"/>
                <w:sz w:val="24"/>
                <w:szCs w:val="24"/>
              </w:rPr>
              <w:t>.</w:t>
            </w:r>
            <w:r w:rsidR="00FD7628">
              <w:rPr>
                <w:rFonts w:ascii="Arial" w:hAnsi="Arial" w:cs="Arial"/>
                <w:sz w:val="24"/>
                <w:szCs w:val="24"/>
              </w:rPr>
              <w:t xml:space="preserve"> The LSA will work with groups of children and also release the class LSA to work with those children identified as most disadvantaged by Lockdown.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£16,000</w:t>
            </w:r>
          </w:p>
        </w:tc>
        <w:tc>
          <w:tcPr>
            <w:tcW w:w="5160" w:type="dxa"/>
            <w:shd w:val="clear" w:color="auto" w:fill="auto"/>
          </w:tcPr>
          <w:p w:rsidR="003D15A4" w:rsidRDefault="00697D42" w:rsidP="003D15A4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="00FD7628" w:rsidRPr="00FD7628">
              <w:rPr>
                <w:rFonts w:ascii="Arial" w:hAnsi="Arial" w:cs="Arial"/>
                <w:b/>
              </w:rPr>
              <w:t>Impact</w:t>
            </w:r>
            <w:r w:rsidR="00FD7628">
              <w:rPr>
                <w:rFonts w:ascii="Arial" w:hAnsi="Arial" w:cs="Arial"/>
              </w:rPr>
              <w:t>:</w:t>
            </w:r>
          </w:p>
          <w:p w:rsidR="0088716B" w:rsidRDefault="00FD7628" w:rsidP="003D15A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Gaps, particularly in maths, grammar and punctuation will be narrowed for those year 5 children disadvantaged by lockdown. </w:t>
            </w:r>
          </w:p>
          <w:p w:rsidR="00FD7628" w:rsidRPr="00FD7628" w:rsidRDefault="00FD7628" w:rsidP="00FD7628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88716B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</w:t>
            </w:r>
            <w:r w:rsidR="00B5144D">
              <w:rPr>
                <w:rFonts w:ascii="Arial" w:hAnsi="Arial" w:cs="Arial"/>
                <w:sz w:val="24"/>
                <w:szCs w:val="24"/>
              </w:rPr>
              <w:t xml:space="preserve">  - small group tuition +4 months</w:t>
            </w:r>
          </w:p>
          <w:p w:rsidR="003D15A4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88716B" w:rsidRPr="00323C80" w:rsidRDefault="00FD7628" w:rsidP="00FD7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 of identified children will be scrutinised in November, March and June in order to measure impact.</w:t>
            </w:r>
          </w:p>
        </w:tc>
      </w:tr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887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books for KS1 </w:t>
            </w:r>
            <w:r w:rsidR="00413852">
              <w:rPr>
                <w:rFonts w:ascii="Arial" w:hAnsi="Arial" w:cs="Arial"/>
                <w:sz w:val="24"/>
                <w:szCs w:val="24"/>
              </w:rPr>
              <w:t>and EYFS</w:t>
            </w:r>
            <w:r w:rsidR="00CB4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628">
              <w:rPr>
                <w:rFonts w:ascii="Arial" w:hAnsi="Arial" w:cs="Arial"/>
                <w:sz w:val="24"/>
                <w:szCs w:val="24"/>
              </w:rPr>
              <w:t>linked to the phonics being taught including Read Write Ink books.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70DF7">
              <w:rPr>
                <w:rFonts w:ascii="Arial" w:hAnsi="Arial" w:cs="Arial"/>
                <w:sz w:val="24"/>
                <w:szCs w:val="24"/>
              </w:rPr>
              <w:t>8,280</w:t>
            </w:r>
          </w:p>
        </w:tc>
        <w:tc>
          <w:tcPr>
            <w:tcW w:w="5160" w:type="dxa"/>
            <w:shd w:val="clear" w:color="auto" w:fill="auto"/>
          </w:tcPr>
          <w:p w:rsidR="00697D42" w:rsidRDefault="00697D42" w:rsidP="00697D42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88716B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close the gaps in reading in </w:t>
            </w:r>
            <w:r w:rsidR="003D15A4">
              <w:rPr>
                <w:rFonts w:ascii="Arial" w:hAnsi="Arial" w:cs="Arial"/>
                <w:sz w:val="24"/>
                <w:szCs w:val="24"/>
              </w:rPr>
              <w:t>EYFS and years 1 and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7D42" w:rsidRPr="00FD7628" w:rsidRDefault="00697D42" w:rsidP="00697D42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B5144D" w:rsidRDefault="00B5144D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EEF– reading comprehension strategies +6 months</w:t>
            </w:r>
          </w:p>
          <w:p w:rsidR="003D15A4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 +4 months</w:t>
            </w:r>
          </w:p>
        </w:tc>
        <w:tc>
          <w:tcPr>
            <w:tcW w:w="3033" w:type="dxa"/>
            <w:shd w:val="clear" w:color="auto" w:fill="auto"/>
          </w:tcPr>
          <w:p w:rsidR="0088716B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be informally assessed in November, March and June in order to measure impact.</w:t>
            </w:r>
          </w:p>
        </w:tc>
      </w:tr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80">
              <w:rPr>
                <w:rFonts w:ascii="Arial" w:hAnsi="Arial" w:cs="Arial"/>
                <w:sz w:val="24"/>
                <w:szCs w:val="24"/>
              </w:rPr>
              <w:t>Total expected expendi</w:t>
            </w:r>
            <w:r>
              <w:rPr>
                <w:rFonts w:ascii="Arial" w:hAnsi="Arial" w:cs="Arial"/>
                <w:sz w:val="24"/>
                <w:szCs w:val="24"/>
              </w:rPr>
              <w:t>ture for academic year 2020-21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BD6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2CDA">
              <w:rPr>
                <w:rFonts w:ascii="Arial" w:hAnsi="Arial" w:cs="Arial"/>
                <w:sz w:val="24"/>
                <w:szCs w:val="24"/>
              </w:rPr>
              <w:t>£</w:t>
            </w:r>
            <w:r w:rsidR="00570DF7">
              <w:rPr>
                <w:rFonts w:ascii="Arial" w:hAnsi="Arial" w:cs="Arial"/>
                <w:sz w:val="24"/>
                <w:szCs w:val="24"/>
              </w:rPr>
              <w:t>33,280</w:t>
            </w:r>
            <w:bookmarkStart w:id="0" w:name="_GoBack"/>
            <w:bookmarkEnd w:id="0"/>
          </w:p>
        </w:tc>
        <w:tc>
          <w:tcPr>
            <w:tcW w:w="5160" w:type="dxa"/>
            <w:shd w:val="clear" w:color="auto" w:fill="auto"/>
          </w:tcPr>
          <w:p w:rsidR="0088716B" w:rsidRPr="00323C80" w:rsidRDefault="0088716B" w:rsidP="00C856E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33" w:type="dxa"/>
            <w:shd w:val="clear" w:color="auto" w:fill="auto"/>
          </w:tcPr>
          <w:p w:rsidR="0088716B" w:rsidRPr="00323C80" w:rsidRDefault="0088716B" w:rsidP="00C856E1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61427" w:rsidRPr="00491E9A" w:rsidRDefault="00570DF7">
      <w:pPr>
        <w:rPr>
          <w:sz w:val="28"/>
          <w:szCs w:val="28"/>
        </w:rPr>
      </w:pPr>
    </w:p>
    <w:p w:rsidR="00491E9A" w:rsidRPr="00491E9A" w:rsidRDefault="00491E9A">
      <w:pPr>
        <w:rPr>
          <w:sz w:val="28"/>
          <w:szCs w:val="28"/>
        </w:rPr>
      </w:pPr>
    </w:p>
    <w:sectPr w:rsidR="00491E9A" w:rsidRPr="00491E9A" w:rsidSect="00CF4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9"/>
    <w:rsid w:val="001E5BAF"/>
    <w:rsid w:val="002D72A9"/>
    <w:rsid w:val="003D15A4"/>
    <w:rsid w:val="00413852"/>
    <w:rsid w:val="004472D2"/>
    <w:rsid w:val="00461C4E"/>
    <w:rsid w:val="00491E9A"/>
    <w:rsid w:val="00570DF7"/>
    <w:rsid w:val="00681CAB"/>
    <w:rsid w:val="00697D42"/>
    <w:rsid w:val="0070215E"/>
    <w:rsid w:val="00727486"/>
    <w:rsid w:val="0088716B"/>
    <w:rsid w:val="008E10E8"/>
    <w:rsid w:val="008F32F1"/>
    <w:rsid w:val="0095042B"/>
    <w:rsid w:val="00B5144D"/>
    <w:rsid w:val="00BD63BA"/>
    <w:rsid w:val="00CB438B"/>
    <w:rsid w:val="00CF4909"/>
    <w:rsid w:val="00EC4BA8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94DB"/>
  <w15:chartTrackingRefBased/>
  <w15:docId w15:val="{48BB1E9E-4784-4212-82A3-A7CFEE9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Saunders</dc:creator>
  <cp:keywords/>
  <dc:description/>
  <cp:lastModifiedBy>Emma Saunders</cp:lastModifiedBy>
  <cp:revision>10</cp:revision>
  <dcterms:created xsi:type="dcterms:W3CDTF">2020-11-16T13:08:00Z</dcterms:created>
  <dcterms:modified xsi:type="dcterms:W3CDTF">2020-11-23T17:09:00Z</dcterms:modified>
</cp:coreProperties>
</file>